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Default Extension="jpeg" ContentType="image/jpeg"/>
  <Default Extension="png" ContentType="image/png"/>
  <Override PartName="/word/footer1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before="5"/>
        <w:ind w:left="0"/>
        <w:jc w:val="left"/>
        <w:rPr>
          <w:sz w:val="27"/>
        </w:rPr>
      </w:pPr>
    </w:p>
    <w:p>
      <w:pPr>
        <w:spacing w:before="89"/>
        <w:ind w:left="1046" w:right="0" w:firstLine="0"/>
        <w:jc w:val="left"/>
        <w:rPr>
          <w:b/>
          <w:sz w:val="26"/>
        </w:rPr>
      </w:pPr>
      <w:r>
        <w:rPr>
          <w:b/>
          <w:color w:val="2E5395"/>
          <w:sz w:val="26"/>
        </w:rPr>
        <w:t>Dichiarazione completamento e operatività della Casa della Comunità</w:t>
      </w:r>
    </w:p>
    <w:p>
      <w:pPr>
        <w:spacing w:before="45"/>
        <w:ind w:left="112" w:right="0" w:firstLine="0"/>
        <w:jc w:val="left"/>
        <w:rPr>
          <w:i/>
          <w:sz w:val="22"/>
        </w:rPr>
      </w:pPr>
      <w:r>
        <w:rPr>
          <w:i/>
          <w:sz w:val="22"/>
        </w:rPr>
        <w:t>(a firma del soggetto attuatore esterno/delegato)</w:t>
      </w:r>
    </w:p>
    <w:p>
      <w:pPr>
        <w:pStyle w:val="BodyText"/>
        <w:spacing w:before="1"/>
        <w:ind w:left="0"/>
        <w:jc w:val="left"/>
        <w:rPr>
          <w:i/>
          <w:sz w:val="24"/>
        </w:rPr>
      </w:pPr>
    </w:p>
    <w:p>
      <w:pPr>
        <w:pStyle w:val="Heading1"/>
      </w:pPr>
      <w:r>
        <w:rPr/>
        <w:t>INFORMAZIONI INTERVENTO</w:t>
      </w:r>
    </w:p>
    <w:p>
      <w:pPr>
        <w:pStyle w:val="BodyText"/>
        <w:spacing w:before="198"/>
        <w:ind w:left="112"/>
        <w:jc w:val="left"/>
      </w:pPr>
      <w:r>
        <w:rPr/>
        <w:t>MISSIONE: Missione 6 Salute</w:t>
      </w:r>
    </w:p>
    <w:p>
      <w:pPr>
        <w:pStyle w:val="BodyText"/>
        <w:spacing w:line="278" w:lineRule="auto" w:before="37"/>
        <w:ind w:left="112" w:right="475"/>
        <w:jc w:val="left"/>
      </w:pPr>
      <w:r>
        <w:rPr/>
        <w:t>COMPONENTE: M6C1 - Reti di prossimità, strutture e telemedicina per l’assistenza sanitaria territoriale INVESTIMENTO: M6C1 I1.1 – Case della Comunità e presa in carico della persona</w:t>
      </w:r>
    </w:p>
    <w:p>
      <w:pPr>
        <w:pStyle w:val="BodyText"/>
        <w:spacing w:line="249" w:lineRule="exact"/>
        <w:ind w:left="112"/>
        <w:jc w:val="left"/>
      </w:pPr>
      <w:r>
        <w:rPr/>
        <w:t>TARGET: M6C1-3</w:t>
      </w:r>
    </w:p>
    <w:p>
      <w:pPr>
        <w:pStyle w:val="BodyText"/>
        <w:spacing w:line="276" w:lineRule="auto" w:before="38"/>
        <w:ind w:left="112" w:right="6157"/>
        <w:jc w:val="left"/>
      </w:pPr>
      <w:r>
        <w:rPr/>
        <w:t>CODICE MISURA: M6C1 I1.1 CODICE PRATT (REGIS):</w:t>
      </w:r>
      <w:r>
        <w:rPr>
          <w:spacing w:val="-12"/>
        </w:rPr>
        <w:t> </w:t>
      </w:r>
      <w:r>
        <w:rPr/>
        <w:t>1000000097</w:t>
      </w:r>
    </w:p>
    <w:p>
      <w:pPr>
        <w:pStyle w:val="Heading1"/>
        <w:tabs>
          <w:tab w:pos="9797" w:val="left" w:leader="none"/>
        </w:tabs>
        <w:spacing w:before="59"/>
        <w:rPr>
          <w:b w:val="0"/>
        </w:rPr>
      </w:pPr>
      <w:r>
        <w:rPr/>
        <w:t>Denominazione</w:t>
      </w:r>
      <w:r>
        <w:rPr>
          <w:spacing w:val="-12"/>
        </w:rPr>
        <w:t> </w:t>
      </w:r>
      <w:r>
        <w:rPr/>
        <w:t>Casa</w:t>
      </w:r>
      <w:r>
        <w:rPr>
          <w:spacing w:val="-13"/>
        </w:rPr>
        <w:t> </w:t>
      </w:r>
      <w:r>
        <w:rPr/>
        <w:t>della</w:t>
      </w:r>
      <w:r>
        <w:rPr>
          <w:spacing w:val="-12"/>
        </w:rPr>
        <w:t> </w:t>
      </w:r>
      <w:r>
        <w:rPr/>
        <w:t>Comunità</w:t>
      </w:r>
      <w:r>
        <w:rPr>
          <w:spacing w:val="-15"/>
        </w:rPr>
        <w:t> </w:t>
      </w:r>
      <w:r>
        <w:rPr/>
        <w:t>e</w:t>
      </w:r>
      <w:r>
        <w:rPr>
          <w:spacing w:val="-14"/>
        </w:rPr>
        <w:t> </w:t>
      </w:r>
      <w:r>
        <w:rPr/>
        <w:t>indirizzo</w:t>
      </w:r>
      <w:r>
        <w:rPr>
          <w:b w:val="0"/>
        </w:rPr>
        <w:t>:</w:t>
      </w:r>
      <w:r>
        <w:rPr>
          <w:b w:val="0"/>
          <w:spacing w:val="-9"/>
        </w:rPr>
        <w:t> </w:t>
      </w:r>
      <w:r>
        <w:rPr>
          <w:b w:val="0"/>
          <w:w w:val="100"/>
          <w:u w:val="single"/>
        </w:rPr>
        <w:t> </w:t>
      </w:r>
      <w:r>
        <w:rPr>
          <w:b w:val="0"/>
          <w:u w:val="single"/>
        </w:rPr>
        <w:tab/>
      </w:r>
    </w:p>
    <w:p>
      <w:pPr>
        <w:tabs>
          <w:tab w:pos="5683" w:val="left" w:leader="none"/>
        </w:tabs>
        <w:spacing w:before="100"/>
        <w:ind w:left="112" w:right="0" w:firstLine="0"/>
        <w:jc w:val="left"/>
        <w:rPr>
          <w:sz w:val="22"/>
        </w:rPr>
      </w:pPr>
      <w:r>
        <w:rPr>
          <w:b/>
          <w:sz w:val="22"/>
        </w:rPr>
        <w:t>CUP</w:t>
      </w:r>
      <w:r>
        <w:rPr>
          <w:sz w:val="22"/>
        </w:rPr>
        <w:t>:</w:t>
      </w:r>
      <w:r>
        <w:rPr>
          <w:spacing w:val="1"/>
          <w:sz w:val="22"/>
        </w:rPr>
        <w:t> </w:t>
      </w:r>
      <w:r>
        <w:rPr>
          <w:w w:val="100"/>
          <w:sz w:val="22"/>
          <w:u w:val="single"/>
        </w:rPr>
        <w:t> </w:t>
      </w:r>
      <w:r>
        <w:rPr>
          <w:sz w:val="22"/>
          <w:u w:val="single"/>
        </w:rPr>
        <w:tab/>
      </w:r>
    </w:p>
    <w:p>
      <w:pPr>
        <w:tabs>
          <w:tab w:pos="7466" w:val="left" w:leader="none"/>
        </w:tabs>
        <w:spacing w:before="95"/>
        <w:ind w:left="112" w:right="475" w:firstLine="0"/>
        <w:jc w:val="left"/>
        <w:rPr>
          <w:i/>
          <w:sz w:val="22"/>
        </w:rPr>
      </w:pPr>
      <w:r>
        <w:rPr>
          <w:b/>
          <w:sz w:val="22"/>
        </w:rPr>
        <w:t>Tipologia di intervento/TAG </w:t>
      </w:r>
      <w:r>
        <w:rPr>
          <w:i/>
          <w:sz w:val="22"/>
        </w:rPr>
        <w:t>(indicare se Nuova costruzione - TAG 025 TER oppure Ristrutturazione/ </w:t>
      </w:r>
      <w:r>
        <w:rPr>
          <w:i/>
          <w:sz w:val="22"/>
        </w:rPr>
        <w:t>riqualificazione energetica degli edifici - TAG</w:t>
      </w:r>
      <w:r>
        <w:rPr>
          <w:i/>
          <w:spacing w:val="-14"/>
          <w:sz w:val="22"/>
        </w:rPr>
        <w:t> </w:t>
      </w:r>
      <w:r>
        <w:rPr>
          <w:i/>
          <w:sz w:val="22"/>
        </w:rPr>
        <w:t>026):</w:t>
      </w:r>
      <w:r>
        <w:rPr>
          <w:i/>
          <w:spacing w:val="1"/>
          <w:sz w:val="22"/>
        </w:rPr>
        <w:t> </w:t>
      </w:r>
      <w:r>
        <w:rPr>
          <w:i/>
          <w:w w:val="100"/>
          <w:sz w:val="22"/>
          <w:u w:val="single"/>
        </w:rPr>
        <w:t> </w:t>
      </w:r>
      <w:r>
        <w:rPr>
          <w:i/>
          <w:sz w:val="22"/>
          <w:u w:val="single"/>
        </w:rPr>
        <w:tab/>
      </w:r>
    </w:p>
    <w:p>
      <w:pPr>
        <w:tabs>
          <w:tab w:pos="7486" w:val="left" w:leader="none"/>
        </w:tabs>
        <w:spacing w:before="61"/>
        <w:ind w:left="112" w:right="0" w:firstLine="0"/>
        <w:jc w:val="left"/>
        <w:rPr>
          <w:i/>
          <w:sz w:val="22"/>
        </w:rPr>
      </w:pPr>
      <w:r>
        <w:rPr>
          <w:b/>
          <w:sz w:val="22"/>
        </w:rPr>
        <w:t>Tipologia di Casa della Comunità </w:t>
      </w:r>
      <w:r>
        <w:rPr>
          <w:i/>
          <w:sz w:val="22"/>
        </w:rPr>
        <w:t>(indicare se Hub o</w:t>
      </w:r>
      <w:r>
        <w:rPr>
          <w:i/>
          <w:spacing w:val="-14"/>
          <w:sz w:val="22"/>
        </w:rPr>
        <w:t> </w:t>
      </w:r>
      <w:r>
        <w:rPr>
          <w:i/>
          <w:sz w:val="22"/>
        </w:rPr>
        <w:t>Spoke)</w:t>
      </w:r>
      <w:r>
        <w:rPr>
          <w:i/>
          <w:spacing w:val="-1"/>
          <w:sz w:val="22"/>
        </w:rPr>
        <w:t> </w:t>
      </w:r>
      <w:r>
        <w:rPr>
          <w:i/>
          <w:w w:val="100"/>
          <w:sz w:val="22"/>
          <w:u w:val="single"/>
        </w:rPr>
        <w:t> </w:t>
      </w:r>
      <w:r>
        <w:rPr>
          <w:i/>
          <w:sz w:val="22"/>
          <w:u w:val="single"/>
        </w:rPr>
        <w:tab/>
      </w:r>
    </w:p>
    <w:p>
      <w:pPr>
        <w:pStyle w:val="Heading1"/>
        <w:tabs>
          <w:tab w:pos="4572" w:val="left" w:leader="none"/>
        </w:tabs>
        <w:spacing w:before="59"/>
      </w:pPr>
      <w:r>
        <w:rPr/>
        <w:t>FINANZIAMENTO</w:t>
      </w:r>
      <w:r>
        <w:rPr>
          <w:spacing w:val="-7"/>
        </w:rPr>
        <w:t> </w:t>
      </w:r>
      <w:r>
        <w:rPr/>
        <w:t>RRF</w:t>
      </w:r>
      <w:r>
        <w:rPr>
          <w:w w:val="100"/>
          <w:u w:val="single"/>
        </w:rPr>
        <w:t> </w:t>
      </w:r>
      <w:r>
        <w:rPr>
          <w:u w:val="single"/>
        </w:rPr>
        <w:tab/>
      </w:r>
    </w:p>
    <w:p>
      <w:pPr>
        <w:pStyle w:val="BodyText"/>
        <w:spacing w:before="2"/>
        <w:ind w:left="0"/>
        <w:jc w:val="left"/>
        <w:rPr>
          <w:b/>
          <w:sz w:val="27"/>
        </w:rPr>
      </w:pPr>
    </w:p>
    <w:p>
      <w:pPr>
        <w:spacing w:after="0"/>
        <w:jc w:val="left"/>
        <w:rPr>
          <w:sz w:val="27"/>
        </w:rPr>
        <w:sectPr>
          <w:headerReference w:type="default" r:id="rId5"/>
          <w:footerReference w:type="default" r:id="rId6"/>
          <w:type w:val="continuous"/>
          <w:pgSz w:w="11900" w:h="16850"/>
          <w:pgMar w:header="720" w:footer="738" w:top="1660" w:bottom="920" w:left="1020" w:right="980"/>
          <w:pgNumType w:start="1"/>
        </w:sectPr>
      </w:pPr>
    </w:p>
    <w:p>
      <w:pPr>
        <w:pStyle w:val="BodyText"/>
        <w:tabs>
          <w:tab w:pos="698" w:val="left" w:leader="none"/>
          <w:tab w:pos="2121" w:val="left" w:leader="none"/>
          <w:tab w:pos="3000" w:val="left" w:leader="none"/>
          <w:tab w:pos="5141" w:val="left" w:leader="none"/>
        </w:tabs>
        <w:spacing w:before="92"/>
        <w:ind w:left="112"/>
        <w:jc w:val="left"/>
      </w:pPr>
      <w:r>
        <w:rPr/>
        <w:t>Il/la</w:t>
        <w:tab/>
        <w:t>sottoscritto/a,</w:t>
        <w:tab/>
        <w:t>NOME</w:t>
        <w:tab/>
      </w:r>
      <w:r>
        <w:rPr>
          <w:w w:val="100"/>
          <w:u w:val="single"/>
        </w:rPr>
        <w:t> </w:t>
      </w:r>
      <w:r>
        <w:rPr>
          <w:u w:val="single"/>
        </w:rPr>
        <w:tab/>
      </w:r>
    </w:p>
    <w:p>
      <w:pPr>
        <w:pStyle w:val="BodyText"/>
        <w:tabs>
          <w:tab w:pos="3414" w:val="left" w:leader="none"/>
          <w:tab w:pos="4716" w:val="left" w:leader="none"/>
        </w:tabs>
        <w:spacing w:before="35"/>
        <w:ind w:left="112"/>
        <w:jc w:val="left"/>
      </w:pPr>
      <w:r>
        <w:rPr>
          <w:w w:val="100"/>
          <w:u w:val="single"/>
        </w:rPr>
        <w:t> </w:t>
      </w:r>
      <w:r>
        <w:rPr>
          <w:u w:val="single"/>
        </w:rPr>
        <w:tab/>
      </w:r>
      <w:r>
        <w:rPr/>
        <w:t>,</w:t>
        <w:tab/>
        <w:t>il</w:t>
      </w:r>
    </w:p>
    <w:p>
      <w:pPr>
        <w:pStyle w:val="BodyText"/>
        <w:tabs>
          <w:tab w:pos="1341" w:val="left" w:leader="none"/>
          <w:tab w:pos="3434" w:val="left" w:leader="none"/>
          <w:tab w:pos="3720" w:val="left" w:leader="none"/>
          <w:tab w:pos="4330" w:val="left" w:leader="none"/>
        </w:tabs>
        <w:spacing w:before="92"/>
        <w:ind w:left="0" w:right="146"/>
        <w:jc w:val="right"/>
      </w:pPr>
      <w:r>
        <w:rPr/>
        <w:br w:type="column"/>
      </w:r>
      <w:r>
        <w:rPr/>
        <w:t>COGNOME</w:t>
        <w:tab/>
      </w:r>
      <w:r>
        <w:rPr>
          <w:u w:val="single"/>
        </w:rPr>
        <w:t> </w:t>
        <w:tab/>
      </w:r>
      <w:r>
        <w:rPr/>
        <w:t>,</w:t>
        <w:tab/>
        <w:t>nato</w:t>
        <w:tab/>
      </w:r>
      <w:r>
        <w:rPr>
          <w:spacing w:val="-1"/>
        </w:rPr>
        <w:t>a</w:t>
      </w:r>
    </w:p>
    <w:p>
      <w:pPr>
        <w:pStyle w:val="BodyText"/>
        <w:tabs>
          <w:tab w:pos="1982" w:val="left" w:leader="none"/>
          <w:tab w:pos="3283" w:val="left" w:leader="none"/>
        </w:tabs>
        <w:spacing w:before="35"/>
        <w:ind w:left="0" w:right="150"/>
        <w:jc w:val="right"/>
      </w:pPr>
      <w:r>
        <w:rPr>
          <w:w w:val="100"/>
          <w:u w:val="single"/>
        </w:rPr>
        <w:t> </w:t>
      </w:r>
      <w:r>
        <w:rPr>
          <w:u w:val="single"/>
        </w:rPr>
        <w:tab/>
      </w:r>
      <w:r>
        <w:rPr/>
        <w:t>,</w:t>
        <w:tab/>
      </w:r>
      <w:r>
        <w:rPr>
          <w:spacing w:val="-1"/>
        </w:rPr>
        <w:t>C.F.</w:t>
      </w:r>
    </w:p>
    <w:p>
      <w:pPr>
        <w:spacing w:after="0"/>
        <w:jc w:val="right"/>
        <w:sectPr>
          <w:type w:val="continuous"/>
          <w:pgSz w:w="11900" w:h="16850"/>
          <w:pgMar w:top="1660" w:bottom="920" w:left="1020" w:right="980"/>
          <w:cols w:num="2" w:equalWidth="0">
            <w:col w:w="5142" w:space="67"/>
            <w:col w:w="4691"/>
          </w:cols>
        </w:sectPr>
      </w:pPr>
    </w:p>
    <w:p>
      <w:pPr>
        <w:pStyle w:val="BodyText"/>
        <w:tabs>
          <w:tab w:pos="3743" w:val="left" w:leader="none"/>
          <w:tab w:pos="9351" w:val="left" w:leader="none"/>
        </w:tabs>
        <w:spacing w:before="40"/>
        <w:ind w:left="112"/>
        <w:jc w:val="left"/>
      </w:pPr>
      <w:r>
        <w:rPr>
          <w:w w:val="100"/>
          <w:u w:val="single"/>
        </w:rPr>
        <w:t> </w:t>
      </w:r>
      <w:r>
        <w:rPr>
          <w:u w:val="single"/>
        </w:rPr>
        <w:tab/>
      </w:r>
      <w:r>
        <w:rPr/>
        <w:t>,   in  </w:t>
      </w:r>
      <w:r>
        <w:rPr>
          <w:spacing w:val="23"/>
        </w:rPr>
        <w:t> </w:t>
      </w:r>
      <w:r>
        <w:rPr/>
        <w:t>qualità  </w:t>
      </w:r>
      <w:r>
        <w:rPr>
          <w:spacing w:val="11"/>
        </w:rPr>
        <w:t> </w:t>
      </w:r>
      <w:r>
        <w:rPr/>
        <w:t>di</w:t>
      </w:r>
      <w:r>
        <w:rPr>
          <w:u w:val="single"/>
        </w:rPr>
        <w:t> </w:t>
        <w:tab/>
      </w:r>
      <w:r>
        <w:rPr/>
        <w:t>del</w:t>
      </w:r>
    </w:p>
    <w:p>
      <w:pPr>
        <w:pStyle w:val="BodyText"/>
        <w:tabs>
          <w:tab w:pos="5068" w:val="left" w:leader="none"/>
        </w:tabs>
        <w:spacing w:line="276" w:lineRule="auto" w:before="37"/>
        <w:ind w:left="112" w:right="149"/>
      </w:pPr>
      <w:r>
        <w:rPr/>
        <w:t>(Ente/Ufficio/Struttura/…)</w:t>
      </w:r>
      <w:r>
        <w:rPr>
          <w:u w:val="single"/>
        </w:rPr>
        <w:t> </w:t>
        <w:tab/>
      </w:r>
      <w:r>
        <w:rPr/>
        <w:t>, in relazione all’intervento identificato in premessa, ai sensi degli artt. 46 e 47 del DPR n. 445/2000 e quindi consapevole delle responsabilità di ordine amministrativo, civile e penale in caso di dichiarazioni mendaci, ex art. 76 del DPR</w:t>
      </w:r>
      <w:r>
        <w:rPr>
          <w:spacing w:val="-15"/>
        </w:rPr>
        <w:t> </w:t>
      </w:r>
      <w:r>
        <w:rPr/>
        <w:t>medesimo,</w:t>
      </w:r>
    </w:p>
    <w:p>
      <w:pPr>
        <w:pStyle w:val="Heading1"/>
        <w:spacing w:before="160"/>
        <w:ind w:left="4078" w:right="4112"/>
        <w:jc w:val="center"/>
      </w:pPr>
      <w:r>
        <w:rPr/>
        <w:t>DICHIARA CHE</w:t>
      </w:r>
    </w:p>
    <w:p>
      <w:pPr>
        <w:pStyle w:val="ListParagraph"/>
        <w:numPr>
          <w:ilvl w:val="0"/>
          <w:numId w:val="1"/>
        </w:numPr>
        <w:tabs>
          <w:tab w:pos="680" w:val="left" w:leader="none"/>
        </w:tabs>
        <w:spacing w:line="276" w:lineRule="auto" w:before="196" w:after="0"/>
        <w:ind w:left="679" w:right="149" w:hanging="425"/>
        <w:jc w:val="both"/>
        <w:rPr>
          <w:sz w:val="22"/>
        </w:rPr>
      </w:pPr>
      <w:r>
        <w:rPr>
          <w:sz w:val="22"/>
        </w:rPr>
        <w:t>L'opera/fornitura [xxxx] è stata completata in conformità alle previsioni del Contratto Istituzionale </w:t>
      </w:r>
      <w:r>
        <w:rPr>
          <w:spacing w:val="-5"/>
          <w:sz w:val="22"/>
        </w:rPr>
        <w:t>di </w:t>
      </w:r>
      <w:r>
        <w:rPr>
          <w:sz w:val="22"/>
        </w:rPr>
        <w:t>Sviluppo (CIS) per l’esecuzione e la realizzazione degli investimenti a regia finanziati nell’ambito del PNRR Missione 6 – Componente 2 sottoscritto tra Ministero della Salute e [Regione/PA] e dei relativi allegati al CIS (Piano Operativo Regionale e Action</w:t>
      </w:r>
      <w:r>
        <w:rPr>
          <w:spacing w:val="-4"/>
          <w:sz w:val="22"/>
        </w:rPr>
        <w:t> </w:t>
      </w:r>
      <w:r>
        <w:rPr>
          <w:sz w:val="22"/>
        </w:rPr>
        <w:t>plan).</w:t>
      </w:r>
    </w:p>
    <w:p>
      <w:pPr>
        <w:pStyle w:val="ListParagraph"/>
        <w:numPr>
          <w:ilvl w:val="0"/>
          <w:numId w:val="1"/>
        </w:numPr>
        <w:tabs>
          <w:tab w:pos="680" w:val="left" w:leader="none"/>
        </w:tabs>
        <w:spacing w:line="276" w:lineRule="auto" w:before="157" w:after="0"/>
        <w:ind w:left="679" w:right="148" w:hanging="425"/>
        <w:jc w:val="both"/>
        <w:rPr>
          <w:sz w:val="22"/>
        </w:rPr>
      </w:pPr>
      <w:r>
        <w:rPr>
          <w:sz w:val="22"/>
        </w:rPr>
        <w:t>L'opera/fornitura è conforme ai requisiti previsti per l’investimento M6C1 I1.1 – Case della Comunità e</w:t>
      </w:r>
      <w:r>
        <w:rPr>
          <w:spacing w:val="-11"/>
          <w:sz w:val="22"/>
        </w:rPr>
        <w:t> </w:t>
      </w:r>
      <w:r>
        <w:rPr>
          <w:sz w:val="22"/>
        </w:rPr>
        <w:t>presa</w:t>
      </w:r>
      <w:r>
        <w:rPr>
          <w:spacing w:val="-11"/>
          <w:sz w:val="22"/>
        </w:rPr>
        <w:t> </w:t>
      </w:r>
      <w:r>
        <w:rPr>
          <w:sz w:val="22"/>
        </w:rPr>
        <w:t>in</w:t>
      </w:r>
      <w:r>
        <w:rPr>
          <w:spacing w:val="-11"/>
          <w:sz w:val="22"/>
        </w:rPr>
        <w:t> </w:t>
      </w:r>
      <w:r>
        <w:rPr>
          <w:sz w:val="22"/>
        </w:rPr>
        <w:t>carico</w:t>
      </w:r>
      <w:r>
        <w:rPr>
          <w:spacing w:val="-11"/>
          <w:sz w:val="22"/>
        </w:rPr>
        <w:t> </w:t>
      </w:r>
      <w:r>
        <w:rPr>
          <w:sz w:val="22"/>
        </w:rPr>
        <w:t>della</w:t>
      </w:r>
      <w:r>
        <w:rPr>
          <w:spacing w:val="-11"/>
          <w:sz w:val="22"/>
        </w:rPr>
        <w:t> </w:t>
      </w:r>
      <w:r>
        <w:rPr>
          <w:sz w:val="22"/>
        </w:rPr>
        <w:t>persona</w:t>
      </w:r>
      <w:r>
        <w:rPr>
          <w:spacing w:val="-10"/>
          <w:sz w:val="22"/>
        </w:rPr>
        <w:t> </w:t>
      </w:r>
      <w:r>
        <w:rPr>
          <w:sz w:val="22"/>
        </w:rPr>
        <w:t>e</w:t>
      </w:r>
      <w:r>
        <w:rPr>
          <w:spacing w:val="-11"/>
          <w:sz w:val="22"/>
        </w:rPr>
        <w:t> </w:t>
      </w:r>
      <w:r>
        <w:rPr>
          <w:sz w:val="22"/>
        </w:rPr>
        <w:t>per</w:t>
      </w:r>
      <w:r>
        <w:rPr>
          <w:spacing w:val="-11"/>
          <w:sz w:val="22"/>
        </w:rPr>
        <w:t> </w:t>
      </w:r>
      <w:r>
        <w:rPr>
          <w:sz w:val="22"/>
        </w:rPr>
        <w:t>il</w:t>
      </w:r>
      <w:r>
        <w:rPr>
          <w:spacing w:val="-10"/>
          <w:sz w:val="22"/>
        </w:rPr>
        <w:t> </w:t>
      </w:r>
      <w:r>
        <w:rPr>
          <w:sz w:val="22"/>
        </w:rPr>
        <w:t>conseguimento</w:t>
      </w:r>
      <w:r>
        <w:rPr>
          <w:spacing w:val="-11"/>
          <w:sz w:val="22"/>
        </w:rPr>
        <w:t> </w:t>
      </w:r>
      <w:r>
        <w:rPr>
          <w:sz w:val="22"/>
        </w:rPr>
        <w:t>del</w:t>
      </w:r>
      <w:r>
        <w:rPr>
          <w:spacing w:val="-12"/>
          <w:sz w:val="22"/>
        </w:rPr>
        <w:t> </w:t>
      </w:r>
      <w:r>
        <w:rPr>
          <w:sz w:val="22"/>
        </w:rPr>
        <w:t>Target</w:t>
      </w:r>
      <w:r>
        <w:rPr>
          <w:spacing w:val="-10"/>
          <w:sz w:val="22"/>
        </w:rPr>
        <w:t> </w:t>
      </w:r>
      <w:r>
        <w:rPr>
          <w:sz w:val="22"/>
        </w:rPr>
        <w:t>europeo</w:t>
      </w:r>
      <w:r>
        <w:rPr>
          <w:spacing w:val="-14"/>
          <w:sz w:val="22"/>
        </w:rPr>
        <w:t> </w:t>
      </w:r>
      <w:r>
        <w:rPr>
          <w:sz w:val="22"/>
        </w:rPr>
        <w:t>M6C1-3</w:t>
      </w:r>
      <w:r>
        <w:rPr>
          <w:spacing w:val="-11"/>
          <w:sz w:val="22"/>
        </w:rPr>
        <w:t> </w:t>
      </w:r>
      <w:r>
        <w:rPr>
          <w:sz w:val="22"/>
        </w:rPr>
        <w:t>descritti</w:t>
      </w:r>
      <w:r>
        <w:rPr>
          <w:spacing w:val="-10"/>
          <w:sz w:val="22"/>
        </w:rPr>
        <w:t> </w:t>
      </w:r>
      <w:r>
        <w:rPr>
          <w:sz w:val="22"/>
        </w:rPr>
        <w:t>nell’Allegato alla Decisione di esecuzione del Consiglio relativa all'approvazione della valutazione del piano per la ripresa e la resilienza dell'Italia (Council Implementing Decision - CID) e negli Operational arrangements tra la Commissione europea e</w:t>
      </w:r>
      <w:r>
        <w:rPr>
          <w:spacing w:val="-2"/>
          <w:sz w:val="22"/>
        </w:rPr>
        <w:t> </w:t>
      </w:r>
      <w:r>
        <w:rPr>
          <w:sz w:val="22"/>
        </w:rPr>
        <w:t>l’Italia.</w:t>
      </w:r>
    </w:p>
    <w:p>
      <w:pPr>
        <w:pStyle w:val="ListParagraph"/>
        <w:numPr>
          <w:ilvl w:val="0"/>
          <w:numId w:val="1"/>
        </w:numPr>
        <w:tabs>
          <w:tab w:pos="680" w:val="left" w:leader="none"/>
        </w:tabs>
        <w:spacing w:line="276" w:lineRule="auto" w:before="159" w:after="0"/>
        <w:ind w:left="679" w:right="149" w:hanging="425"/>
        <w:jc w:val="both"/>
        <w:rPr>
          <w:sz w:val="22"/>
        </w:rPr>
      </w:pPr>
      <w:r>
        <w:rPr>
          <w:sz w:val="22"/>
        </w:rPr>
        <w:t>L'opera/ fornitura è conforme agli standard qualitativi, strutturali, tecnologici e quantitativi definiti dal Decreto</w:t>
      </w:r>
      <w:r>
        <w:rPr>
          <w:spacing w:val="-6"/>
          <w:sz w:val="22"/>
        </w:rPr>
        <w:t> </w:t>
      </w:r>
      <w:r>
        <w:rPr>
          <w:sz w:val="22"/>
        </w:rPr>
        <w:t>Ministero</w:t>
      </w:r>
      <w:r>
        <w:rPr>
          <w:spacing w:val="-4"/>
          <w:sz w:val="22"/>
        </w:rPr>
        <w:t> </w:t>
      </w:r>
      <w:r>
        <w:rPr>
          <w:sz w:val="22"/>
        </w:rPr>
        <w:t>della</w:t>
      </w:r>
      <w:r>
        <w:rPr>
          <w:spacing w:val="-4"/>
          <w:sz w:val="22"/>
        </w:rPr>
        <w:t> </w:t>
      </w:r>
      <w:r>
        <w:rPr>
          <w:sz w:val="22"/>
        </w:rPr>
        <w:t>Salute</w:t>
      </w:r>
      <w:r>
        <w:rPr>
          <w:spacing w:val="-4"/>
          <w:sz w:val="22"/>
        </w:rPr>
        <w:t> </w:t>
      </w:r>
      <w:r>
        <w:rPr>
          <w:sz w:val="22"/>
        </w:rPr>
        <w:t>23</w:t>
      </w:r>
      <w:r>
        <w:rPr>
          <w:spacing w:val="-4"/>
          <w:sz w:val="22"/>
        </w:rPr>
        <w:t> </w:t>
      </w:r>
      <w:r>
        <w:rPr>
          <w:sz w:val="22"/>
        </w:rPr>
        <w:t>maggio</w:t>
      </w:r>
      <w:r>
        <w:rPr>
          <w:spacing w:val="-5"/>
          <w:sz w:val="22"/>
        </w:rPr>
        <w:t> </w:t>
      </w:r>
      <w:r>
        <w:rPr>
          <w:sz w:val="22"/>
        </w:rPr>
        <w:t>2022,</w:t>
      </w:r>
      <w:r>
        <w:rPr>
          <w:spacing w:val="-5"/>
          <w:sz w:val="22"/>
        </w:rPr>
        <w:t> </w:t>
      </w:r>
      <w:r>
        <w:rPr>
          <w:sz w:val="22"/>
        </w:rPr>
        <w:t>n.</w:t>
      </w:r>
      <w:r>
        <w:rPr>
          <w:spacing w:val="-4"/>
          <w:sz w:val="22"/>
        </w:rPr>
        <w:t> </w:t>
      </w:r>
      <w:r>
        <w:rPr>
          <w:sz w:val="22"/>
        </w:rPr>
        <w:t>77</w:t>
      </w:r>
      <w:r>
        <w:rPr>
          <w:spacing w:val="-7"/>
          <w:sz w:val="22"/>
        </w:rPr>
        <w:t> </w:t>
      </w:r>
      <w:r>
        <w:rPr>
          <w:sz w:val="22"/>
        </w:rPr>
        <w:t>“Regolamento</w:t>
      </w:r>
      <w:r>
        <w:rPr>
          <w:spacing w:val="-3"/>
          <w:sz w:val="22"/>
        </w:rPr>
        <w:t> </w:t>
      </w:r>
      <w:r>
        <w:rPr>
          <w:sz w:val="22"/>
        </w:rPr>
        <w:t>recante</w:t>
      </w:r>
      <w:r>
        <w:rPr>
          <w:spacing w:val="-6"/>
          <w:sz w:val="22"/>
        </w:rPr>
        <w:t> </w:t>
      </w:r>
      <w:r>
        <w:rPr>
          <w:sz w:val="22"/>
        </w:rPr>
        <w:t>la</w:t>
      </w:r>
      <w:r>
        <w:rPr>
          <w:spacing w:val="-6"/>
          <w:sz w:val="22"/>
        </w:rPr>
        <w:t> </w:t>
      </w:r>
      <w:r>
        <w:rPr>
          <w:sz w:val="22"/>
        </w:rPr>
        <w:t>definizione</w:t>
      </w:r>
      <w:r>
        <w:rPr>
          <w:spacing w:val="-4"/>
          <w:sz w:val="22"/>
        </w:rPr>
        <w:t> </w:t>
      </w:r>
      <w:r>
        <w:rPr>
          <w:sz w:val="22"/>
        </w:rPr>
        <w:t>di</w:t>
      </w:r>
      <w:r>
        <w:rPr>
          <w:spacing w:val="-4"/>
          <w:sz w:val="22"/>
        </w:rPr>
        <w:t> </w:t>
      </w:r>
      <w:r>
        <w:rPr>
          <w:sz w:val="22"/>
        </w:rPr>
        <w:t>modelli</w:t>
      </w:r>
      <w:r>
        <w:rPr>
          <w:spacing w:val="-5"/>
          <w:sz w:val="22"/>
        </w:rPr>
        <w:t> </w:t>
      </w:r>
      <w:r>
        <w:rPr>
          <w:sz w:val="22"/>
        </w:rPr>
        <w:t>e standard per lo sviluppo dell’assistenza territoriale nel Servizio sanitario nazionale” e dalle altre normative nazionali e regionali di riferimento, tenuto conto anche degli orientamenti Agenas (“</w:t>
      </w:r>
      <w:hyperlink r:id="rId7">
        <w:r>
          <w:rPr>
            <w:sz w:val="22"/>
          </w:rPr>
          <w:t>Documento di indirizzo per il Metaprogetto della Casa di Comunità</w:t>
        </w:r>
      </w:hyperlink>
      <w:r>
        <w:rPr>
          <w:sz w:val="22"/>
        </w:rPr>
        <w:t>”, agosto 2022 - Quaderno di Monitor 2022, Supplemento alla rivista semestrale Monitor; “Linee di indirizzo per l’attuazione del modello organizzativo delle Case della Comunità Hub” -</w:t>
      </w:r>
      <w:r>
        <w:rPr>
          <w:spacing w:val="-8"/>
          <w:sz w:val="22"/>
        </w:rPr>
        <w:t> </w:t>
      </w:r>
      <w:r>
        <w:rPr>
          <w:sz w:val="22"/>
        </w:rPr>
        <w:t>05.04.2024).</w:t>
      </w:r>
    </w:p>
    <w:p>
      <w:pPr>
        <w:pStyle w:val="ListParagraph"/>
        <w:numPr>
          <w:ilvl w:val="0"/>
          <w:numId w:val="1"/>
        </w:numPr>
        <w:tabs>
          <w:tab w:pos="680" w:val="left" w:leader="none"/>
        </w:tabs>
        <w:spacing w:line="273" w:lineRule="auto" w:before="155" w:after="0"/>
        <w:ind w:left="679" w:right="147" w:hanging="425"/>
        <w:jc w:val="both"/>
        <w:rPr>
          <w:sz w:val="22"/>
        </w:rPr>
      </w:pPr>
      <w:r>
        <w:rPr>
          <w:sz w:val="22"/>
        </w:rPr>
        <w:t>È stato assicurato, ai sensi dell’articolo 18 del Regolamento (UE) n. 241/2021, il perseguimento del principio</w:t>
      </w:r>
      <w:r>
        <w:rPr>
          <w:spacing w:val="10"/>
          <w:sz w:val="22"/>
        </w:rPr>
        <w:t> </w:t>
      </w:r>
      <w:r>
        <w:rPr>
          <w:sz w:val="22"/>
        </w:rPr>
        <w:t>di</w:t>
      </w:r>
      <w:r>
        <w:rPr>
          <w:spacing w:val="11"/>
          <w:sz w:val="22"/>
        </w:rPr>
        <w:t> </w:t>
      </w:r>
      <w:r>
        <w:rPr>
          <w:sz w:val="22"/>
        </w:rPr>
        <w:t>“non</w:t>
      </w:r>
      <w:r>
        <w:rPr>
          <w:spacing w:val="11"/>
          <w:sz w:val="22"/>
        </w:rPr>
        <w:t> </w:t>
      </w:r>
      <w:r>
        <w:rPr>
          <w:sz w:val="22"/>
        </w:rPr>
        <w:t>arrecare</w:t>
      </w:r>
      <w:r>
        <w:rPr>
          <w:spacing w:val="11"/>
          <w:sz w:val="22"/>
        </w:rPr>
        <w:t> </w:t>
      </w:r>
      <w:r>
        <w:rPr>
          <w:sz w:val="22"/>
        </w:rPr>
        <w:t>danno</w:t>
      </w:r>
      <w:r>
        <w:rPr>
          <w:spacing w:val="10"/>
          <w:sz w:val="22"/>
        </w:rPr>
        <w:t> </w:t>
      </w:r>
      <w:r>
        <w:rPr>
          <w:sz w:val="22"/>
        </w:rPr>
        <w:t>significativo</w:t>
      </w:r>
      <w:r>
        <w:rPr>
          <w:spacing w:val="14"/>
          <w:sz w:val="22"/>
        </w:rPr>
        <w:t> </w:t>
      </w:r>
      <w:r>
        <w:rPr>
          <w:sz w:val="22"/>
        </w:rPr>
        <w:t>agli</w:t>
      </w:r>
      <w:r>
        <w:rPr>
          <w:spacing w:val="11"/>
          <w:sz w:val="22"/>
        </w:rPr>
        <w:t> </w:t>
      </w:r>
      <w:r>
        <w:rPr>
          <w:sz w:val="22"/>
        </w:rPr>
        <w:t>obiettivi</w:t>
      </w:r>
      <w:r>
        <w:rPr>
          <w:spacing w:val="14"/>
          <w:sz w:val="22"/>
        </w:rPr>
        <w:t> </w:t>
      </w:r>
      <w:r>
        <w:rPr>
          <w:sz w:val="22"/>
        </w:rPr>
        <w:t>ambientali”</w:t>
      </w:r>
      <w:r>
        <w:rPr>
          <w:spacing w:val="11"/>
          <w:sz w:val="22"/>
        </w:rPr>
        <w:t> </w:t>
      </w:r>
      <w:r>
        <w:rPr>
          <w:sz w:val="22"/>
        </w:rPr>
        <w:t>(“Do</w:t>
      </w:r>
      <w:r>
        <w:rPr>
          <w:spacing w:val="12"/>
          <w:sz w:val="22"/>
        </w:rPr>
        <w:t> </w:t>
      </w:r>
      <w:r>
        <w:rPr>
          <w:sz w:val="22"/>
        </w:rPr>
        <w:t>No</w:t>
      </w:r>
      <w:r>
        <w:rPr>
          <w:spacing w:val="10"/>
          <w:sz w:val="22"/>
        </w:rPr>
        <w:t> </w:t>
      </w:r>
      <w:r>
        <w:rPr>
          <w:sz w:val="22"/>
        </w:rPr>
        <w:t>Significant</w:t>
      </w:r>
      <w:r>
        <w:rPr>
          <w:spacing w:val="12"/>
          <w:sz w:val="22"/>
        </w:rPr>
        <w:t> </w:t>
      </w:r>
      <w:r>
        <w:rPr>
          <w:sz w:val="22"/>
        </w:rPr>
        <w:t>Harm”</w:t>
      </w:r>
      <w:r>
        <w:rPr>
          <w:spacing w:val="13"/>
          <w:sz w:val="22"/>
        </w:rPr>
        <w:t> </w:t>
      </w:r>
      <w:r>
        <w:rPr>
          <w:sz w:val="22"/>
        </w:rPr>
        <w:t>-</w:t>
      </w:r>
    </w:p>
    <w:p>
      <w:pPr>
        <w:spacing w:after="0" w:line="273" w:lineRule="auto"/>
        <w:jc w:val="both"/>
        <w:rPr>
          <w:sz w:val="22"/>
        </w:rPr>
        <w:sectPr>
          <w:type w:val="continuous"/>
          <w:pgSz w:w="11900" w:h="16850"/>
          <w:pgMar w:top="1660" w:bottom="920" w:left="1020" w:right="980"/>
        </w:sectPr>
      </w:pPr>
    </w:p>
    <w:p>
      <w:pPr>
        <w:pStyle w:val="BodyText"/>
        <w:spacing w:before="3"/>
        <w:ind w:left="0"/>
        <w:jc w:val="left"/>
        <w:rPr>
          <w:sz w:val="27"/>
        </w:rPr>
      </w:pPr>
    </w:p>
    <w:p>
      <w:pPr>
        <w:pStyle w:val="BodyText"/>
        <w:spacing w:line="276" w:lineRule="auto" w:before="92"/>
        <w:ind w:right="149"/>
      </w:pPr>
      <w:r>
        <w:rPr/>
        <w:t>DNSH)</w:t>
      </w:r>
      <w:r>
        <w:rPr>
          <w:spacing w:val="-16"/>
        </w:rPr>
        <w:t> </w:t>
      </w:r>
      <w:r>
        <w:rPr/>
        <w:t>di</w:t>
      </w:r>
      <w:r>
        <w:rPr>
          <w:spacing w:val="-15"/>
        </w:rPr>
        <w:t> </w:t>
      </w:r>
      <w:r>
        <w:rPr/>
        <w:t>cui</w:t>
      </w:r>
      <w:r>
        <w:rPr>
          <w:spacing w:val="-14"/>
        </w:rPr>
        <w:t> </w:t>
      </w:r>
      <w:r>
        <w:rPr/>
        <w:t>all’articolo</w:t>
      </w:r>
      <w:r>
        <w:rPr>
          <w:spacing w:val="-14"/>
        </w:rPr>
        <w:t> </w:t>
      </w:r>
      <w:r>
        <w:rPr/>
        <w:t>17</w:t>
      </w:r>
      <w:r>
        <w:rPr>
          <w:spacing w:val="-16"/>
        </w:rPr>
        <w:t> </w:t>
      </w:r>
      <w:r>
        <w:rPr/>
        <w:t>del</w:t>
      </w:r>
      <w:r>
        <w:rPr>
          <w:spacing w:val="-15"/>
        </w:rPr>
        <w:t> </w:t>
      </w:r>
      <w:r>
        <w:rPr/>
        <w:t>Regolamento</w:t>
      </w:r>
      <w:r>
        <w:rPr>
          <w:spacing w:val="-15"/>
        </w:rPr>
        <w:t> </w:t>
      </w:r>
      <w:r>
        <w:rPr/>
        <w:t>(UE)</w:t>
      </w:r>
      <w:r>
        <w:rPr>
          <w:spacing w:val="-15"/>
        </w:rPr>
        <w:t> </w:t>
      </w:r>
      <w:r>
        <w:rPr/>
        <w:t>n.</w:t>
      </w:r>
      <w:r>
        <w:rPr>
          <w:spacing w:val="-16"/>
        </w:rPr>
        <w:t> </w:t>
      </w:r>
      <w:r>
        <w:rPr/>
        <w:t>852/2020,</w:t>
      </w:r>
      <w:r>
        <w:rPr>
          <w:spacing w:val="-15"/>
        </w:rPr>
        <w:t> </w:t>
      </w:r>
      <w:r>
        <w:rPr/>
        <w:t>secondo</w:t>
      </w:r>
      <w:r>
        <w:rPr>
          <w:spacing w:val="-15"/>
        </w:rPr>
        <w:t> </w:t>
      </w:r>
      <w:r>
        <w:rPr/>
        <w:t>quanto</w:t>
      </w:r>
      <w:r>
        <w:rPr>
          <w:spacing w:val="-16"/>
        </w:rPr>
        <w:t> </w:t>
      </w:r>
      <w:r>
        <w:rPr/>
        <w:t>definito</w:t>
      </w:r>
      <w:r>
        <w:rPr>
          <w:spacing w:val="-15"/>
        </w:rPr>
        <w:t> </w:t>
      </w:r>
      <w:r>
        <w:rPr/>
        <w:t>dalla</w:t>
      </w:r>
      <w:r>
        <w:rPr>
          <w:spacing w:val="-15"/>
        </w:rPr>
        <w:t> </w:t>
      </w:r>
      <w:r>
        <w:rPr/>
        <w:t>Circolare della Ragioneria Generale dello Stato del 14 maggio 2024, n. 22 “Aggiornamento Guida operativa per il</w:t>
      </w:r>
      <w:r>
        <w:rPr>
          <w:spacing w:val="-6"/>
        </w:rPr>
        <w:t> </w:t>
      </w:r>
      <w:r>
        <w:rPr/>
        <w:t>rispetto</w:t>
      </w:r>
      <w:r>
        <w:rPr>
          <w:spacing w:val="-7"/>
        </w:rPr>
        <w:t> </w:t>
      </w:r>
      <w:r>
        <w:rPr/>
        <w:t>del</w:t>
      </w:r>
      <w:r>
        <w:rPr>
          <w:spacing w:val="-5"/>
        </w:rPr>
        <w:t> </w:t>
      </w:r>
      <w:r>
        <w:rPr/>
        <w:t>principio</w:t>
      </w:r>
      <w:r>
        <w:rPr>
          <w:spacing w:val="-6"/>
        </w:rPr>
        <w:t> </w:t>
      </w:r>
      <w:r>
        <w:rPr/>
        <w:t>di</w:t>
      </w:r>
      <w:r>
        <w:rPr>
          <w:spacing w:val="-5"/>
        </w:rPr>
        <w:t> </w:t>
      </w:r>
      <w:r>
        <w:rPr/>
        <w:t>non</w:t>
      </w:r>
      <w:r>
        <w:rPr>
          <w:spacing w:val="-7"/>
        </w:rPr>
        <w:t> </w:t>
      </w:r>
      <w:r>
        <w:rPr/>
        <w:t>arrecare</w:t>
      </w:r>
      <w:r>
        <w:rPr>
          <w:spacing w:val="-5"/>
        </w:rPr>
        <w:t> </w:t>
      </w:r>
      <w:r>
        <w:rPr/>
        <w:t>danno</w:t>
      </w:r>
      <w:r>
        <w:rPr>
          <w:spacing w:val="-7"/>
        </w:rPr>
        <w:t> </w:t>
      </w:r>
      <w:r>
        <w:rPr/>
        <w:t>significativo</w:t>
      </w:r>
      <w:r>
        <w:rPr>
          <w:spacing w:val="-5"/>
        </w:rPr>
        <w:t> </w:t>
      </w:r>
      <w:r>
        <w:rPr/>
        <w:t>all’ambiente</w:t>
      </w:r>
      <w:r>
        <w:rPr>
          <w:spacing w:val="-8"/>
        </w:rPr>
        <w:t> </w:t>
      </w:r>
      <w:r>
        <w:rPr/>
        <w:t>(cd.</w:t>
      </w:r>
      <w:r>
        <w:rPr>
          <w:spacing w:val="-6"/>
        </w:rPr>
        <w:t> </w:t>
      </w:r>
      <w:r>
        <w:rPr/>
        <w:t>DNSH)”</w:t>
      </w:r>
      <w:r>
        <w:rPr>
          <w:spacing w:val="-6"/>
        </w:rPr>
        <w:t> </w:t>
      </w:r>
      <w:r>
        <w:rPr/>
        <w:t>che</w:t>
      </w:r>
      <w:r>
        <w:rPr>
          <w:spacing w:val="-6"/>
        </w:rPr>
        <w:t> </w:t>
      </w:r>
      <w:r>
        <w:rPr/>
        <w:t>ha</w:t>
      </w:r>
      <w:r>
        <w:rPr>
          <w:spacing w:val="-6"/>
        </w:rPr>
        <w:t> </w:t>
      </w:r>
      <w:r>
        <w:rPr/>
        <w:t>aggiornato la Circolare n. 33 del 13 ottobre 2022, in conformità con le Linee guida emanate dall’UMPNRR con prot. 460 del 6/02/2025</w:t>
      </w:r>
      <w:r>
        <w:rPr>
          <w:spacing w:val="-1"/>
        </w:rPr>
        <w:t> </w:t>
      </w:r>
      <w:r>
        <w:rPr/>
        <w:t>UMPNRR-MDS-P.</w:t>
      </w:r>
    </w:p>
    <w:p>
      <w:pPr>
        <w:pStyle w:val="ListParagraph"/>
        <w:numPr>
          <w:ilvl w:val="0"/>
          <w:numId w:val="1"/>
        </w:numPr>
        <w:tabs>
          <w:tab w:pos="680" w:val="left" w:leader="none"/>
        </w:tabs>
        <w:spacing w:line="240" w:lineRule="auto" w:before="159" w:after="0"/>
        <w:ind w:left="679" w:right="148" w:hanging="425"/>
        <w:jc w:val="both"/>
        <w:rPr>
          <w:i/>
          <w:sz w:val="22"/>
        </w:rPr>
      </w:pPr>
      <w:r>
        <w:rPr>
          <w:sz w:val="22"/>
        </w:rPr>
        <w:t>Per la realizzazione dell’intervento sono stati rispettati tutti i principi trasversali previsti dal PNRR, quali, in particolare, il rispetto del principio del contributo all’obiettivo climatico ai sensi del regolamento (UE) 2021/241 e, in particolare, relativo al tag clima 025 TER / 026 </w:t>
      </w:r>
      <w:r>
        <w:rPr>
          <w:i/>
          <w:sz w:val="22"/>
        </w:rPr>
        <w:t>(indicare il tag </w:t>
      </w:r>
      <w:r>
        <w:rPr>
          <w:i/>
          <w:sz w:val="22"/>
        </w:rPr>
        <w:t>pertinente per</w:t>
      </w:r>
      <w:r>
        <w:rPr>
          <w:i/>
          <w:spacing w:val="-5"/>
          <w:sz w:val="22"/>
        </w:rPr>
        <w:t> </w:t>
      </w:r>
      <w:r>
        <w:rPr>
          <w:i/>
          <w:sz w:val="22"/>
        </w:rPr>
        <w:t>l’intervento).</w:t>
      </w:r>
    </w:p>
    <w:p>
      <w:pPr>
        <w:pStyle w:val="ListParagraph"/>
        <w:numPr>
          <w:ilvl w:val="0"/>
          <w:numId w:val="1"/>
        </w:numPr>
        <w:tabs>
          <w:tab w:pos="680" w:val="left" w:leader="none"/>
        </w:tabs>
        <w:spacing w:line="276" w:lineRule="auto" w:before="119" w:after="0"/>
        <w:ind w:left="679" w:right="148" w:hanging="425"/>
        <w:jc w:val="both"/>
        <w:rPr>
          <w:sz w:val="22"/>
        </w:rPr>
      </w:pPr>
      <w:r>
        <w:rPr>
          <w:sz w:val="22"/>
        </w:rPr>
        <w:t>È stato assicurato il rispetto di tutte le disposizioni previste dalla normativa europea e nazionale, con particolare riferimento a quanto previsto dal Regolamento (UE) n. 241/2021 e dal decreto-legge 31 maggio 2021, n. 77, come modificato dalla legge 29 luglio 2021, n.</w:t>
      </w:r>
      <w:r>
        <w:rPr>
          <w:spacing w:val="-4"/>
          <w:sz w:val="22"/>
        </w:rPr>
        <w:t> </w:t>
      </w:r>
      <w:r>
        <w:rPr>
          <w:sz w:val="22"/>
        </w:rPr>
        <w:t>108.</w:t>
      </w:r>
    </w:p>
    <w:p>
      <w:pPr>
        <w:pStyle w:val="ListParagraph"/>
        <w:numPr>
          <w:ilvl w:val="0"/>
          <w:numId w:val="1"/>
        </w:numPr>
        <w:tabs>
          <w:tab w:pos="680" w:val="left" w:leader="none"/>
        </w:tabs>
        <w:spacing w:line="276" w:lineRule="auto" w:before="157" w:after="0"/>
        <w:ind w:left="679" w:right="149" w:hanging="425"/>
        <w:jc w:val="both"/>
        <w:rPr>
          <w:sz w:val="22"/>
        </w:rPr>
      </w:pPr>
      <w:r>
        <w:rPr>
          <w:sz w:val="22"/>
        </w:rPr>
        <w:t>È stato garantito il rispetto degli obblighi in materia di comunicazione e informazione previsti dall’art. 34 del Regolamento (UE) n. 241/2021, in linea con le </w:t>
      </w:r>
      <w:hyperlink r:id="rId8">
        <w:r>
          <w:rPr>
            <w:sz w:val="22"/>
            <w:u w:val="single"/>
          </w:rPr>
          <w:t>Linee Guida</w:t>
        </w:r>
        <w:r>
          <w:rPr>
            <w:sz w:val="22"/>
          </w:rPr>
          <w:t> </w:t>
        </w:r>
      </w:hyperlink>
      <w:r>
        <w:rPr>
          <w:sz w:val="22"/>
        </w:rPr>
        <w:t>per l’utilizzo dei loghi del Piano Nazionale di Ripresa e Resilienza – PNRR, Missione 6 Salute, per le azioni di informazione e comunicazione a cura dei Soggetti Attuatori e beneficiari emanate</w:t>
      </w:r>
      <w:r>
        <w:rPr>
          <w:spacing w:val="-7"/>
          <w:sz w:val="22"/>
        </w:rPr>
        <w:t> </w:t>
      </w:r>
      <w:r>
        <w:rPr>
          <w:sz w:val="22"/>
        </w:rPr>
        <w:t>dall’UMPNRR.</w:t>
      </w:r>
    </w:p>
    <w:p>
      <w:pPr>
        <w:pStyle w:val="ListParagraph"/>
        <w:numPr>
          <w:ilvl w:val="0"/>
          <w:numId w:val="1"/>
        </w:numPr>
        <w:tabs>
          <w:tab w:pos="680" w:val="left" w:leader="none"/>
        </w:tabs>
        <w:spacing w:line="276" w:lineRule="auto" w:before="157" w:after="0"/>
        <w:ind w:left="679" w:right="149" w:hanging="425"/>
        <w:jc w:val="both"/>
        <w:rPr>
          <w:sz w:val="22"/>
        </w:rPr>
      </w:pPr>
      <w:r>
        <w:rPr>
          <w:sz w:val="22"/>
        </w:rPr>
        <w:t>La documentazione comprovante il soddisfacente conseguimento del Target M6C1-3 relativo all’investimento M6C1 I1.1 – Case della Comunità e presa in carico della persona, per quanto </w:t>
      </w:r>
      <w:r>
        <w:rPr>
          <w:spacing w:val="-3"/>
          <w:sz w:val="22"/>
        </w:rPr>
        <w:t>di </w:t>
      </w:r>
      <w:r>
        <w:rPr>
          <w:sz w:val="22"/>
        </w:rPr>
        <w:t>competenza, è stata correttamente caricata nel sistema informativo ReGiS nella sezione relativa al correlato indicatore target secondo le indicazioni dell’UMPNRR (Indicatore target ReGiS</w:t>
      </w:r>
      <w:r>
        <w:rPr>
          <w:spacing w:val="-17"/>
          <w:sz w:val="22"/>
        </w:rPr>
        <w:t> </w:t>
      </w:r>
      <w:r>
        <w:rPr>
          <w:sz w:val="22"/>
        </w:rPr>
        <w:t>T0105).</w:t>
      </w:r>
    </w:p>
    <w:p>
      <w:pPr>
        <w:pStyle w:val="ListParagraph"/>
        <w:numPr>
          <w:ilvl w:val="0"/>
          <w:numId w:val="1"/>
        </w:numPr>
        <w:tabs>
          <w:tab w:pos="680" w:val="left" w:leader="none"/>
        </w:tabs>
        <w:spacing w:line="276" w:lineRule="auto" w:before="157" w:after="0"/>
        <w:ind w:left="679" w:right="149" w:hanging="425"/>
        <w:jc w:val="both"/>
        <w:rPr>
          <w:sz w:val="22"/>
        </w:rPr>
      </w:pPr>
      <w:r>
        <w:rPr>
          <w:sz w:val="22"/>
        </w:rPr>
        <w:t>La documentazione inserita nel sistema informativo ReGiS, per quanto di competenza, è coerente rispetto al valore realizzato dichiarato del target ed è idonea a confermare il soddisfacente conseguimento</w:t>
      </w:r>
      <w:r>
        <w:rPr>
          <w:spacing w:val="-4"/>
          <w:sz w:val="22"/>
        </w:rPr>
        <w:t> </w:t>
      </w:r>
      <w:r>
        <w:rPr>
          <w:sz w:val="22"/>
        </w:rPr>
        <w:t>del</w:t>
      </w:r>
      <w:r>
        <w:rPr>
          <w:spacing w:val="-3"/>
          <w:sz w:val="22"/>
        </w:rPr>
        <w:t> </w:t>
      </w:r>
      <w:r>
        <w:rPr>
          <w:sz w:val="22"/>
        </w:rPr>
        <w:t>target</w:t>
      </w:r>
      <w:r>
        <w:rPr>
          <w:spacing w:val="-5"/>
          <w:sz w:val="22"/>
        </w:rPr>
        <w:t> </w:t>
      </w:r>
      <w:r>
        <w:rPr>
          <w:sz w:val="22"/>
        </w:rPr>
        <w:t>M6C1-3,</w:t>
      </w:r>
      <w:r>
        <w:rPr>
          <w:spacing w:val="-1"/>
          <w:sz w:val="22"/>
        </w:rPr>
        <w:t> </w:t>
      </w:r>
      <w:r>
        <w:rPr>
          <w:sz w:val="22"/>
        </w:rPr>
        <w:t>ivi</w:t>
      </w:r>
      <w:r>
        <w:rPr>
          <w:spacing w:val="-1"/>
          <w:sz w:val="22"/>
        </w:rPr>
        <w:t> </w:t>
      </w:r>
      <w:r>
        <w:rPr>
          <w:sz w:val="22"/>
        </w:rPr>
        <w:t>inclusi</w:t>
      </w:r>
      <w:r>
        <w:rPr>
          <w:spacing w:val="-3"/>
          <w:sz w:val="22"/>
        </w:rPr>
        <w:t> </w:t>
      </w:r>
      <w:r>
        <w:rPr>
          <w:sz w:val="22"/>
        </w:rPr>
        <w:t>i</w:t>
      </w:r>
      <w:r>
        <w:rPr>
          <w:spacing w:val="-4"/>
          <w:sz w:val="22"/>
        </w:rPr>
        <w:t> </w:t>
      </w:r>
      <w:r>
        <w:rPr>
          <w:sz w:val="22"/>
        </w:rPr>
        <w:t>sub</w:t>
      </w:r>
      <w:r>
        <w:rPr>
          <w:spacing w:val="-3"/>
          <w:sz w:val="22"/>
        </w:rPr>
        <w:t> </w:t>
      </w:r>
      <w:r>
        <w:rPr>
          <w:sz w:val="22"/>
        </w:rPr>
        <w:t>criteri</w:t>
      </w:r>
      <w:r>
        <w:rPr>
          <w:spacing w:val="-3"/>
          <w:sz w:val="22"/>
        </w:rPr>
        <w:t> </w:t>
      </w:r>
      <w:r>
        <w:rPr>
          <w:sz w:val="22"/>
        </w:rPr>
        <w:t>indicati</w:t>
      </w:r>
      <w:r>
        <w:rPr>
          <w:spacing w:val="-3"/>
          <w:sz w:val="22"/>
        </w:rPr>
        <w:t> </w:t>
      </w:r>
      <w:r>
        <w:rPr>
          <w:sz w:val="22"/>
        </w:rPr>
        <w:t>nella</w:t>
      </w:r>
      <w:r>
        <w:rPr>
          <w:spacing w:val="-4"/>
          <w:sz w:val="22"/>
        </w:rPr>
        <w:t> </w:t>
      </w:r>
      <w:r>
        <w:rPr>
          <w:sz w:val="22"/>
        </w:rPr>
        <w:t>descrizione della</w:t>
      </w:r>
      <w:r>
        <w:rPr>
          <w:spacing w:val="-2"/>
          <w:sz w:val="22"/>
        </w:rPr>
        <w:t> </w:t>
      </w:r>
      <w:r>
        <w:rPr>
          <w:sz w:val="22"/>
        </w:rPr>
        <w:t>misura</w:t>
      </w:r>
      <w:r>
        <w:rPr>
          <w:spacing w:val="-2"/>
          <w:sz w:val="22"/>
        </w:rPr>
        <w:t> </w:t>
      </w:r>
      <w:r>
        <w:rPr>
          <w:sz w:val="22"/>
        </w:rPr>
        <w:t>e</w:t>
      </w:r>
      <w:r>
        <w:rPr>
          <w:spacing w:val="-4"/>
          <w:sz w:val="22"/>
        </w:rPr>
        <w:t> </w:t>
      </w:r>
      <w:r>
        <w:rPr>
          <w:sz w:val="22"/>
        </w:rPr>
        <w:t>nella descrizione della milestone o del target in coerenza con l’Annex CID e con gli Operational Arrangements.</w:t>
      </w:r>
    </w:p>
    <w:p>
      <w:pPr>
        <w:pStyle w:val="ListParagraph"/>
        <w:numPr>
          <w:ilvl w:val="0"/>
          <w:numId w:val="1"/>
        </w:numPr>
        <w:tabs>
          <w:tab w:pos="680" w:val="left" w:leader="none"/>
        </w:tabs>
        <w:spacing w:line="276" w:lineRule="auto" w:before="156" w:after="0"/>
        <w:ind w:left="679" w:right="149" w:hanging="425"/>
        <w:jc w:val="both"/>
        <w:rPr>
          <w:sz w:val="22"/>
        </w:rPr>
      </w:pPr>
      <w:r>
        <w:rPr>
          <w:sz w:val="22"/>
        </w:rPr>
        <w:t>Sono stati correttamente eseguiti, e superati con esito positivo, i controlli necessari ad assicurare la correttezza,</w:t>
      </w:r>
      <w:r>
        <w:rPr>
          <w:spacing w:val="-17"/>
          <w:sz w:val="22"/>
        </w:rPr>
        <w:t> </w:t>
      </w:r>
      <w:r>
        <w:rPr>
          <w:sz w:val="22"/>
        </w:rPr>
        <w:t>affidabilità</w:t>
      </w:r>
      <w:r>
        <w:rPr>
          <w:spacing w:val="-16"/>
          <w:sz w:val="22"/>
        </w:rPr>
        <w:t> </w:t>
      </w:r>
      <w:r>
        <w:rPr>
          <w:sz w:val="22"/>
        </w:rPr>
        <w:t>e</w:t>
      </w:r>
      <w:r>
        <w:rPr>
          <w:spacing w:val="-17"/>
          <w:sz w:val="22"/>
        </w:rPr>
        <w:t> </w:t>
      </w:r>
      <w:r>
        <w:rPr>
          <w:sz w:val="22"/>
        </w:rPr>
        <w:t>completezza</w:t>
      </w:r>
      <w:r>
        <w:rPr>
          <w:spacing w:val="-17"/>
          <w:sz w:val="22"/>
        </w:rPr>
        <w:t> </w:t>
      </w:r>
      <w:r>
        <w:rPr>
          <w:sz w:val="22"/>
        </w:rPr>
        <w:t>degli</w:t>
      </w:r>
      <w:r>
        <w:rPr>
          <w:spacing w:val="-16"/>
          <w:sz w:val="22"/>
        </w:rPr>
        <w:t> </w:t>
      </w:r>
      <w:r>
        <w:rPr>
          <w:sz w:val="22"/>
        </w:rPr>
        <w:t>atti/procedure</w:t>
      </w:r>
      <w:r>
        <w:rPr>
          <w:spacing w:val="-16"/>
          <w:sz w:val="22"/>
        </w:rPr>
        <w:t> </w:t>
      </w:r>
      <w:r>
        <w:rPr>
          <w:sz w:val="22"/>
        </w:rPr>
        <w:t>propedeutici</w:t>
      </w:r>
      <w:r>
        <w:rPr>
          <w:spacing w:val="-18"/>
          <w:sz w:val="22"/>
        </w:rPr>
        <w:t> </w:t>
      </w:r>
      <w:r>
        <w:rPr>
          <w:sz w:val="22"/>
        </w:rPr>
        <w:t>al</w:t>
      </w:r>
      <w:r>
        <w:rPr>
          <w:spacing w:val="-17"/>
          <w:sz w:val="22"/>
        </w:rPr>
        <w:t> </w:t>
      </w:r>
      <w:r>
        <w:rPr>
          <w:sz w:val="22"/>
        </w:rPr>
        <w:t>soddisfacente</w:t>
      </w:r>
      <w:r>
        <w:rPr>
          <w:spacing w:val="-15"/>
          <w:sz w:val="22"/>
        </w:rPr>
        <w:t> </w:t>
      </w:r>
      <w:r>
        <w:rPr>
          <w:sz w:val="22"/>
        </w:rPr>
        <w:t>raggiungimento di</w:t>
      </w:r>
      <w:r>
        <w:rPr>
          <w:spacing w:val="-8"/>
          <w:sz w:val="22"/>
        </w:rPr>
        <w:t> </w:t>
      </w:r>
      <w:r>
        <w:rPr>
          <w:sz w:val="22"/>
        </w:rPr>
        <w:t>milestone/target</w:t>
      </w:r>
      <w:r>
        <w:rPr>
          <w:spacing w:val="-7"/>
          <w:sz w:val="22"/>
        </w:rPr>
        <w:t> </w:t>
      </w:r>
      <w:r>
        <w:rPr>
          <w:sz w:val="22"/>
        </w:rPr>
        <w:t>oggetto</w:t>
      </w:r>
      <w:r>
        <w:rPr>
          <w:spacing w:val="-10"/>
          <w:sz w:val="22"/>
        </w:rPr>
        <w:t> </w:t>
      </w:r>
      <w:r>
        <w:rPr>
          <w:sz w:val="22"/>
        </w:rPr>
        <w:t>di</w:t>
      </w:r>
      <w:r>
        <w:rPr>
          <w:spacing w:val="-8"/>
          <w:sz w:val="22"/>
        </w:rPr>
        <w:t> </w:t>
      </w:r>
      <w:r>
        <w:rPr>
          <w:sz w:val="22"/>
        </w:rPr>
        <w:t>rendicontazione</w:t>
      </w:r>
      <w:r>
        <w:rPr>
          <w:spacing w:val="-10"/>
          <w:sz w:val="22"/>
        </w:rPr>
        <w:t> </w:t>
      </w:r>
      <w:r>
        <w:rPr>
          <w:sz w:val="22"/>
        </w:rPr>
        <w:t>(es.</w:t>
      </w:r>
      <w:r>
        <w:rPr>
          <w:spacing w:val="-8"/>
          <w:sz w:val="22"/>
        </w:rPr>
        <w:t> </w:t>
      </w:r>
      <w:r>
        <w:rPr>
          <w:sz w:val="22"/>
        </w:rPr>
        <w:t>sulle</w:t>
      </w:r>
      <w:r>
        <w:rPr>
          <w:spacing w:val="-10"/>
          <w:sz w:val="22"/>
        </w:rPr>
        <w:t> </w:t>
      </w:r>
      <w:r>
        <w:rPr>
          <w:sz w:val="22"/>
        </w:rPr>
        <w:t>procedure</w:t>
      </w:r>
      <w:r>
        <w:rPr>
          <w:spacing w:val="-9"/>
          <w:sz w:val="22"/>
        </w:rPr>
        <w:t> </w:t>
      </w:r>
      <w:r>
        <w:rPr>
          <w:sz w:val="22"/>
        </w:rPr>
        <w:t>di</w:t>
      </w:r>
      <w:r>
        <w:rPr>
          <w:spacing w:val="-10"/>
          <w:sz w:val="22"/>
        </w:rPr>
        <w:t> </w:t>
      </w:r>
      <w:r>
        <w:rPr>
          <w:sz w:val="22"/>
        </w:rPr>
        <w:t>selezione</w:t>
      </w:r>
      <w:r>
        <w:rPr>
          <w:spacing w:val="-10"/>
          <w:sz w:val="22"/>
        </w:rPr>
        <w:t> </w:t>
      </w:r>
      <w:r>
        <w:rPr>
          <w:sz w:val="22"/>
        </w:rPr>
        <w:t>e/o</w:t>
      </w:r>
      <w:r>
        <w:rPr>
          <w:spacing w:val="-13"/>
          <w:sz w:val="22"/>
        </w:rPr>
        <w:t> </w:t>
      </w:r>
      <w:r>
        <w:rPr>
          <w:sz w:val="22"/>
        </w:rPr>
        <w:t>di</w:t>
      </w:r>
      <w:r>
        <w:rPr>
          <w:spacing w:val="-8"/>
          <w:sz w:val="22"/>
        </w:rPr>
        <w:t> </w:t>
      </w:r>
      <w:r>
        <w:rPr>
          <w:sz w:val="22"/>
        </w:rPr>
        <w:t>gara/affidamento).</w:t>
      </w:r>
    </w:p>
    <w:p>
      <w:pPr>
        <w:pStyle w:val="ListParagraph"/>
        <w:numPr>
          <w:ilvl w:val="0"/>
          <w:numId w:val="1"/>
        </w:numPr>
        <w:tabs>
          <w:tab w:pos="680" w:val="left" w:leader="none"/>
        </w:tabs>
        <w:spacing w:line="273" w:lineRule="auto" w:before="157" w:after="0"/>
        <w:ind w:left="679" w:right="149" w:hanging="425"/>
        <w:jc w:val="both"/>
        <w:rPr>
          <w:sz w:val="22"/>
        </w:rPr>
      </w:pPr>
      <w:r>
        <w:rPr>
          <w:sz w:val="22"/>
        </w:rPr>
        <w:t>Tutti i collaudi e le verifiche richiesti sono stati eseguiti con esito positivo, conformemente alle normative vigenti.</w:t>
      </w:r>
    </w:p>
    <w:p>
      <w:pPr>
        <w:pStyle w:val="ListParagraph"/>
        <w:numPr>
          <w:ilvl w:val="0"/>
          <w:numId w:val="1"/>
        </w:numPr>
        <w:tabs>
          <w:tab w:pos="680" w:val="left" w:leader="none"/>
        </w:tabs>
        <w:spacing w:line="276" w:lineRule="auto" w:before="163" w:after="0"/>
        <w:ind w:left="679" w:right="149" w:hanging="425"/>
        <w:jc w:val="both"/>
        <w:rPr>
          <w:sz w:val="22"/>
        </w:rPr>
      </w:pPr>
      <w:r>
        <w:rPr>
          <w:sz w:val="22"/>
        </w:rPr>
        <w:t>Le attrezzature e le strumentazioni mediche e diagnostiche necessarie al funzionamento del servizio sono state installate e sono</w:t>
      </w:r>
      <w:r>
        <w:rPr>
          <w:spacing w:val="-6"/>
          <w:sz w:val="22"/>
        </w:rPr>
        <w:t> </w:t>
      </w:r>
      <w:r>
        <w:rPr>
          <w:sz w:val="22"/>
        </w:rPr>
        <w:t>operative.</w:t>
      </w:r>
    </w:p>
    <w:p>
      <w:pPr>
        <w:pStyle w:val="ListParagraph"/>
        <w:numPr>
          <w:ilvl w:val="0"/>
          <w:numId w:val="1"/>
        </w:numPr>
        <w:tabs>
          <w:tab w:pos="680" w:val="left" w:leader="none"/>
        </w:tabs>
        <w:spacing w:line="273" w:lineRule="auto" w:before="158" w:after="0"/>
        <w:ind w:left="679" w:right="149" w:hanging="425"/>
        <w:jc w:val="both"/>
        <w:rPr>
          <w:sz w:val="22"/>
        </w:rPr>
      </w:pPr>
      <w:r>
        <w:rPr>
          <w:sz w:val="22"/>
        </w:rPr>
        <w:t>Le eventuali procedure e autorizzazioni richieste da enti esterni per l'avvio del servizio sono state regolarmente</w:t>
      </w:r>
      <w:r>
        <w:rPr>
          <w:spacing w:val="-2"/>
          <w:sz w:val="22"/>
        </w:rPr>
        <w:t> </w:t>
      </w:r>
      <w:r>
        <w:rPr>
          <w:sz w:val="22"/>
        </w:rPr>
        <w:t>ottenute.</w:t>
      </w:r>
    </w:p>
    <w:p>
      <w:pPr>
        <w:pStyle w:val="ListParagraph"/>
        <w:numPr>
          <w:ilvl w:val="0"/>
          <w:numId w:val="1"/>
        </w:numPr>
        <w:tabs>
          <w:tab w:pos="680" w:val="left" w:leader="none"/>
        </w:tabs>
        <w:spacing w:line="273" w:lineRule="auto" w:before="160" w:after="0"/>
        <w:ind w:left="679" w:right="150" w:hanging="425"/>
        <w:jc w:val="both"/>
        <w:rPr>
          <w:sz w:val="22"/>
        </w:rPr>
      </w:pPr>
      <w:r>
        <w:rPr>
          <w:sz w:val="22"/>
        </w:rPr>
        <w:t>La Casa della Comunità [xxxx] e i servizi connessi, in coerenza con gli standard previsti dal DM 77/2022, sono ufficialmente entrati in funzione a partire dal [Data di Inizio</w:t>
      </w:r>
      <w:r>
        <w:rPr>
          <w:spacing w:val="-12"/>
          <w:sz w:val="22"/>
        </w:rPr>
        <w:t> </w:t>
      </w:r>
      <w:r>
        <w:rPr>
          <w:sz w:val="22"/>
        </w:rPr>
        <w:t>Funzionamento].</w:t>
      </w:r>
    </w:p>
    <w:p>
      <w:pPr>
        <w:pStyle w:val="BodyText"/>
        <w:spacing w:before="1"/>
        <w:ind w:left="0"/>
        <w:jc w:val="left"/>
        <w:rPr>
          <w:sz w:val="35"/>
        </w:rPr>
      </w:pPr>
    </w:p>
    <w:p>
      <w:pPr>
        <w:pStyle w:val="BodyText"/>
        <w:tabs>
          <w:tab w:pos="5888" w:val="left" w:leader="none"/>
        </w:tabs>
        <w:spacing w:before="1"/>
      </w:pPr>
      <w:r>
        <w:rPr/>
        <w:t>Luogo e data</w:t>
        <w:tab/>
        <w:t>Nominativo e Firma digitale</w:t>
      </w:r>
    </w:p>
    <w:p>
      <w:pPr>
        <w:pStyle w:val="BodyText"/>
        <w:ind w:left="0"/>
        <w:jc w:val="left"/>
        <w:rPr>
          <w:sz w:val="20"/>
        </w:rPr>
      </w:pPr>
    </w:p>
    <w:p>
      <w:pPr>
        <w:pStyle w:val="BodyText"/>
        <w:ind w:left="0"/>
        <w:jc w:val="left"/>
        <w:rPr>
          <w:sz w:val="15"/>
        </w:rPr>
      </w:pPr>
      <w:r>
        <w:rPr/>
        <w:pict>
          <v:shape style="position:absolute;margin-left:56.639999pt;margin-top:10.834824pt;width:137.550pt;height:.1pt;mso-position-horizontal-relative:page;mso-position-vertical-relative:paragraph;z-index:-251658240;mso-wrap-distance-left:0;mso-wrap-distance-right:0" coordorigin="1133,217" coordsize="2751,0" path="m1133,217l3883,217e" filled="false" stroked="true" strokeweight=".45264pt" strokecolor="#000000">
            <v:path arrowok="t"/>
            <v:stroke dashstyle="solid"/>
            <w10:wrap type="topAndBottom"/>
          </v:shape>
        </w:pict>
      </w:r>
      <w:r>
        <w:rPr/>
        <w:pict>
          <v:shape style="position:absolute;margin-left:339.910004pt;margin-top:10.834824pt;width:159.6pt;height:.1pt;mso-position-horizontal-relative:page;mso-position-vertical-relative:paragraph;z-index:-251657216;mso-wrap-distance-left:0;mso-wrap-distance-right:0" coordorigin="6798,217" coordsize="3192,0" path="m6798,217l9990,217e" filled="false" stroked="true" strokeweight=".45264pt" strokecolor="#000000">
            <v:path arrowok="t"/>
            <v:stroke dashstyle="solid"/>
            <w10:wrap type="topAndBottom"/>
          </v:shape>
        </w:pict>
      </w:r>
    </w:p>
    <w:sectPr>
      <w:pgSz w:w="11900" w:h="16850"/>
      <w:pgMar w:header="720" w:footer="738" w:top="1660" w:bottom="920" w:left="1020" w:right="9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Symbol">
    <w:altName w:val="Symbol"/>
    <w:charset w:val="2"/>
    <w:family w:val="roman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ind w:left="0"/>
      <w:jc w:val="left"/>
      <w:rPr>
        <w:sz w:val="20"/>
      </w:rPr>
    </w:pPr>
    <w:r>
      <w:rPr/>
      <w:pict>
        <v:shape style="position:absolute;margin-left:494.459991pt;margin-top:794.124512pt;width:44.9pt;height:13.05pt;mso-position-horizontal-relative:page;mso-position-vertical-relative:page;z-index:-251756544" type="#_x0000_t202" filled="false" stroked="false">
          <v:textbox inset="0,0,0,0">
            <w:txbxContent>
              <w:p>
                <w:pPr>
                  <w:spacing w:before="10"/>
                  <w:ind w:left="20" w:right="0" w:firstLine="0"/>
                  <w:jc w:val="left"/>
                  <w:rPr>
                    <w:sz w:val="20"/>
                  </w:rPr>
                </w:pPr>
                <w:r>
                  <w:rPr>
                    <w:sz w:val="20"/>
                  </w:rPr>
                  <w:t>Pag. </w:t>
                </w:r>
                <w:r>
                  <w:rPr/>
                  <w:fldChar w:fldCharType="begin"/>
                </w:r>
                <w:r>
                  <w:rPr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</w:t>
                </w:r>
                <w:r>
                  <w:rPr/>
                  <w:fldChar w:fldCharType="end"/>
                </w:r>
                <w:r>
                  <w:rPr>
                    <w:sz w:val="20"/>
                  </w:rPr>
                  <w:t> di 2</w:t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ind w:left="0"/>
      <w:jc w:val="left"/>
      <w:rPr>
        <w:sz w:val="20"/>
      </w:rPr>
    </w:pPr>
    <w:r>
      <w:rPr/>
      <w:drawing>
        <wp:anchor distT="0" distB="0" distL="0" distR="0" allowOverlap="1" layoutInCell="1" locked="0" behindDoc="1" simplePos="0" relativeHeight="251554816">
          <wp:simplePos x="0" y="0"/>
          <wp:positionH relativeFrom="page">
            <wp:posOffset>2540635</wp:posOffset>
          </wp:positionH>
          <wp:positionV relativeFrom="page">
            <wp:posOffset>457199</wp:posOffset>
          </wp:positionV>
          <wp:extent cx="1351661" cy="576579"/>
          <wp:effectExtent l="0" t="0" r="0" b="0"/>
          <wp:wrapNone/>
          <wp:docPr id="1" name="image1.jpe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351661" cy="57657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drawing>
        <wp:anchor distT="0" distB="0" distL="0" distR="0" allowOverlap="1" layoutInCell="1" locked="0" behindDoc="1" simplePos="0" relativeHeight="251555840">
          <wp:simplePos x="0" y="0"/>
          <wp:positionH relativeFrom="page">
            <wp:posOffset>3995420</wp:posOffset>
          </wp:positionH>
          <wp:positionV relativeFrom="page">
            <wp:posOffset>478789</wp:posOffset>
          </wp:positionV>
          <wp:extent cx="1502664" cy="444500"/>
          <wp:effectExtent l="0" t="0" r="0" b="0"/>
          <wp:wrapNone/>
          <wp:docPr id="3" name="image2.pn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4" name="image2.pn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1502664" cy="4445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drawing>
        <wp:anchor distT="0" distB="0" distL="0" distR="0" allowOverlap="1" layoutInCell="1" locked="0" behindDoc="1" simplePos="0" relativeHeight="251556864">
          <wp:simplePos x="0" y="0"/>
          <wp:positionH relativeFrom="page">
            <wp:posOffset>788669</wp:posOffset>
          </wp:positionH>
          <wp:positionV relativeFrom="page">
            <wp:posOffset>496569</wp:posOffset>
          </wp:positionV>
          <wp:extent cx="1653920" cy="370840"/>
          <wp:effectExtent l="0" t="0" r="0" b="0"/>
          <wp:wrapNone/>
          <wp:docPr id="5" name="image3.pn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6" name="image3.png"/>
                  <pic:cNvPicPr/>
                </pic:nvPicPr>
                <pic:blipFill>
                  <a:blip r:embed="rId3" cstate="print"/>
                  <a:stretch>
                    <a:fillRect/>
                  </a:stretch>
                </pic:blipFill>
                <pic:spPr>
                  <a:xfrm>
                    <a:off x="0" y="0"/>
                    <a:ext cx="1653920" cy="3708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pict>
        <v:rect style="position:absolute;margin-left:440.850006pt;margin-top:39.769978pt;width:94.05pt;height:34.85pt;mso-position-horizontal-relative:page;mso-position-vertical-relative:page;z-index:-251758592" filled="true" fillcolor="#0d5380" stroked="false">
          <v:fill type="solid"/>
          <w10:wrap type="none"/>
        </v:rect>
      </w:pict>
    </w: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450.420013pt;margin-top:42.001579pt;width:73.05pt;height:30.2pt;mso-position-horizontal-relative:page;mso-position-vertical-relative:page;z-index:-251757568" type="#_x0000_t202" filled="false" stroked="false">
          <v:textbox inset="0,0,0,0">
            <w:txbxContent>
              <w:p>
                <w:pPr>
                  <w:spacing w:line="249" w:lineRule="auto" w:before="15"/>
                  <w:ind w:left="151" w:right="-1" w:hanging="132"/>
                  <w:jc w:val="left"/>
                  <w:rPr>
                    <w:rFonts w:ascii="Arial"/>
                    <w:b/>
                    <w:sz w:val="16"/>
                  </w:rPr>
                </w:pPr>
                <w:r>
                  <w:rPr>
                    <w:rFonts w:ascii="Arial"/>
                    <w:b/>
                    <w:color w:val="FFFFFF"/>
                    <w:sz w:val="16"/>
                  </w:rPr>
                  <w:t>LOGO SOGGETTO ATTUATORE O BENEFICIARIO</w:t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0"/>
      <w:numFmt w:val="bullet"/>
      <w:lvlText w:val=""/>
      <w:lvlJc w:val="left"/>
      <w:pPr>
        <w:ind w:left="679" w:hanging="425"/>
      </w:pPr>
      <w:rPr>
        <w:rFonts w:hint="default" w:ascii="Symbol" w:hAnsi="Symbol" w:eastAsia="Symbol" w:cs="Symbol"/>
        <w:w w:val="100"/>
        <w:sz w:val="22"/>
        <w:szCs w:val="22"/>
        <w:lang w:val="it-IT" w:eastAsia="it-IT" w:bidi="it-IT"/>
      </w:rPr>
    </w:lvl>
    <w:lvl w:ilvl="1">
      <w:start w:val="0"/>
      <w:numFmt w:val="bullet"/>
      <w:lvlText w:val="•"/>
      <w:lvlJc w:val="left"/>
      <w:pPr>
        <w:ind w:left="1601" w:hanging="425"/>
      </w:pPr>
      <w:rPr>
        <w:rFonts w:hint="default"/>
        <w:lang w:val="it-IT" w:eastAsia="it-IT" w:bidi="it-IT"/>
      </w:rPr>
    </w:lvl>
    <w:lvl w:ilvl="2">
      <w:start w:val="0"/>
      <w:numFmt w:val="bullet"/>
      <w:lvlText w:val="•"/>
      <w:lvlJc w:val="left"/>
      <w:pPr>
        <w:ind w:left="2523" w:hanging="425"/>
      </w:pPr>
      <w:rPr>
        <w:rFonts w:hint="default"/>
        <w:lang w:val="it-IT" w:eastAsia="it-IT" w:bidi="it-IT"/>
      </w:rPr>
    </w:lvl>
    <w:lvl w:ilvl="3">
      <w:start w:val="0"/>
      <w:numFmt w:val="bullet"/>
      <w:lvlText w:val="•"/>
      <w:lvlJc w:val="left"/>
      <w:pPr>
        <w:ind w:left="3445" w:hanging="425"/>
      </w:pPr>
      <w:rPr>
        <w:rFonts w:hint="default"/>
        <w:lang w:val="it-IT" w:eastAsia="it-IT" w:bidi="it-IT"/>
      </w:rPr>
    </w:lvl>
    <w:lvl w:ilvl="4">
      <w:start w:val="0"/>
      <w:numFmt w:val="bullet"/>
      <w:lvlText w:val="•"/>
      <w:lvlJc w:val="left"/>
      <w:pPr>
        <w:ind w:left="4367" w:hanging="425"/>
      </w:pPr>
      <w:rPr>
        <w:rFonts w:hint="default"/>
        <w:lang w:val="it-IT" w:eastAsia="it-IT" w:bidi="it-IT"/>
      </w:rPr>
    </w:lvl>
    <w:lvl w:ilvl="5">
      <w:start w:val="0"/>
      <w:numFmt w:val="bullet"/>
      <w:lvlText w:val="•"/>
      <w:lvlJc w:val="left"/>
      <w:pPr>
        <w:ind w:left="5289" w:hanging="425"/>
      </w:pPr>
      <w:rPr>
        <w:rFonts w:hint="default"/>
        <w:lang w:val="it-IT" w:eastAsia="it-IT" w:bidi="it-IT"/>
      </w:rPr>
    </w:lvl>
    <w:lvl w:ilvl="6">
      <w:start w:val="0"/>
      <w:numFmt w:val="bullet"/>
      <w:lvlText w:val="•"/>
      <w:lvlJc w:val="left"/>
      <w:pPr>
        <w:ind w:left="6211" w:hanging="425"/>
      </w:pPr>
      <w:rPr>
        <w:rFonts w:hint="default"/>
        <w:lang w:val="it-IT" w:eastAsia="it-IT" w:bidi="it-IT"/>
      </w:rPr>
    </w:lvl>
    <w:lvl w:ilvl="7">
      <w:start w:val="0"/>
      <w:numFmt w:val="bullet"/>
      <w:lvlText w:val="•"/>
      <w:lvlJc w:val="left"/>
      <w:pPr>
        <w:ind w:left="7133" w:hanging="425"/>
      </w:pPr>
      <w:rPr>
        <w:rFonts w:hint="default"/>
        <w:lang w:val="it-IT" w:eastAsia="it-IT" w:bidi="it-IT"/>
      </w:rPr>
    </w:lvl>
    <w:lvl w:ilvl="8">
      <w:start w:val="0"/>
      <w:numFmt w:val="bullet"/>
      <w:lvlText w:val="•"/>
      <w:lvlJc w:val="left"/>
      <w:pPr>
        <w:ind w:left="8055" w:hanging="425"/>
      </w:pPr>
      <w:rPr>
        <w:rFonts w:hint="default"/>
        <w:lang w:val="it-IT" w:eastAsia="it-IT" w:bidi="it-I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it-IT" w:eastAsia="it-IT" w:bidi="it-IT"/>
    </w:rPr>
  </w:style>
  <w:style w:styleId="BodyText" w:type="paragraph">
    <w:name w:val="Body Text"/>
    <w:basedOn w:val="Normal"/>
    <w:uiPriority w:val="1"/>
    <w:qFormat/>
    <w:pPr>
      <w:ind w:left="679"/>
      <w:jc w:val="both"/>
    </w:pPr>
    <w:rPr>
      <w:rFonts w:ascii="Times New Roman" w:hAnsi="Times New Roman" w:eastAsia="Times New Roman" w:cs="Times New Roman"/>
      <w:sz w:val="22"/>
      <w:szCs w:val="22"/>
      <w:lang w:val="it-IT" w:eastAsia="it-IT" w:bidi="it-IT"/>
    </w:rPr>
  </w:style>
  <w:style w:styleId="Heading1" w:type="paragraph">
    <w:name w:val="Heading 1"/>
    <w:basedOn w:val="Normal"/>
    <w:uiPriority w:val="1"/>
    <w:qFormat/>
    <w:pPr>
      <w:spacing w:before="1"/>
      <w:ind w:left="112"/>
      <w:outlineLvl w:val="1"/>
    </w:pPr>
    <w:rPr>
      <w:rFonts w:ascii="Times New Roman" w:hAnsi="Times New Roman" w:eastAsia="Times New Roman" w:cs="Times New Roman"/>
      <w:b/>
      <w:bCs/>
      <w:sz w:val="22"/>
      <w:szCs w:val="22"/>
      <w:lang w:val="it-IT" w:eastAsia="it-IT" w:bidi="it-IT"/>
    </w:rPr>
  </w:style>
  <w:style w:styleId="ListParagraph" w:type="paragraph">
    <w:name w:val="List Paragraph"/>
    <w:basedOn w:val="Normal"/>
    <w:uiPriority w:val="1"/>
    <w:qFormat/>
    <w:pPr>
      <w:spacing w:before="157"/>
      <w:ind w:left="679" w:right="149" w:hanging="425"/>
      <w:jc w:val="both"/>
    </w:pPr>
    <w:rPr>
      <w:rFonts w:ascii="Times New Roman" w:hAnsi="Times New Roman" w:eastAsia="Times New Roman" w:cs="Times New Roman"/>
      <w:lang w:val="it-IT" w:eastAsia="it-IT" w:bidi="it-IT"/>
    </w:rPr>
  </w:style>
  <w:style w:styleId="TableParagraph" w:type="paragraph">
    <w:name w:val="Table Paragraph"/>
    <w:basedOn w:val="Normal"/>
    <w:uiPriority w:val="1"/>
    <w:qFormat/>
    <w:pPr/>
    <w:rPr>
      <w:lang w:val="it-IT" w:eastAsia="it-IT" w:bidi="it-IT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hyperlink" Target="https://www.agenas.gov.it/comunicazione/primo-piano/2127-documento-di-indirizzo-per-il-metaprogetto-della-casa-della-comunit%C3%A0" TargetMode="External"/><Relationship Id="rId8" Type="http://schemas.openxmlformats.org/officeDocument/2006/relationships/hyperlink" Target="https://www.pnrr.salute.gov.it/portale/pnrrsalute/Ministero_della_Salute_guida_loghi-PNRR_Missione_Salute.pdf" TargetMode="External"/><Relationship Id="rId9" Type="http://schemas.openxmlformats.org/officeDocument/2006/relationships/numbering" Target="numbering.xml"/></Relationships>
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Relationship Id="rId2" Type="http://schemas.openxmlformats.org/officeDocument/2006/relationships/image" Target="media/image2.png"/><Relationship Id="rId3" Type="http://schemas.openxmlformats.org/officeDocument/2006/relationships/image" Target="media/image3.pn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Francesco Gombia</dc:creator>
  <dcterms:created xsi:type="dcterms:W3CDTF">2025-03-21T12:17:05Z</dcterms:created>
  <dcterms:modified xsi:type="dcterms:W3CDTF">2025-03-21T12:17:05Z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2025-03-20T00:00:00Z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2025-03-21T00:00:00Z</vt:filetime>
  </property>
</Properties>
</file>